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28</w:t>
      </w:r>
    </w:p>
    <w:p>
      <w:r>
        <w:t>Bundesgericht (BGE), 1996-01-22, DE</w:t>
      </w:r>
    </w:p>
    <w:p>
      <w:r>
        <w:rPr>
          <w:b/>
        </w:rPr>
        <w:t xml:space="preserve">Quelle: </w:t>
      </w:r>
      <w:r>
        <w:t>https://mcp.opencaselaw.ch/entscheid/bge_122 V 28</w:t>
      </w:r>
    </w:p>
    <w:p>
      <w:r>
        <w:t>FR: ATF 122 V 28</w:t>
      </w:r>
    </w:p>
    <w:p>
      <w:r>
        <w:t>IT: DTF 122 V 28</w:t>
      </w:r>
    </w:p>
    <w:p>
      <w:pPr>
        <w:pStyle w:val="Heading2"/>
      </w:pPr>
      <w:r>
        <w:t>Regeste</w:t>
      </w:r>
    </w:p>
    <w:p>
      <w:r>
        <w:t>Regeste Art. 98 f. MVG, Art. 12 aMVG, Art. 109 MVG: Übergangsrecht. Ist es bis zum Inkrafttreten des revidierten MVG vom 19. Juni 1992 zum Erlass lediglich des (nicht ausdrücklich angenommenen) Vorschlages, nicht aber der Verfügung gekommen (vgl. Art. 12 aMVG), beurteilt sich der Versicherungsfall nach neuem Recht. Art. 18 Abs. 6 MVG. Zum Umfang der Bundeshaftung für die Folgen medizinischer Vorkehren.</w:t>
      </w:r>
    </w:p>
    <w:p>
      <w:pPr>
        <w:pStyle w:val="Heading2"/>
      </w:pPr>
      <w:r>
        <w:t>Erwägungen</w:t>
      </w:r>
    </w:p>
    <w:p>
      <w:r>
        <w:rPr>
          <w:b/>
        </w:rPr>
        <w:t>E. 1</w:t>
      </w:r>
    </w:p>
    <w:p>
      <w:r>
        <w:t>Im vorliegenden Fall ist es nach Lage der Akten unter der Geltung des alten Rechts (aMVG) bis 31. Dezember 1993 nur zum Erlass des Vorschlages vom 27. August 1993 gekommen, hingegen nicht mehr zur Verfügung im Sinne von Art. 12 Abs. 3 aMVG . Vielmehr hat das BAMV den im Sinne dieser Bestimmung erhobenen Einspruch als Einsprache gemäss Art. 99 Abs. 1 MVG entgegengenommen und darüber am 2. September 1994 den beschwerdefähigen Entscheid ( Art. 99 Abs. 2 MVG ) erlassen. Diese verfahrensrechtlich nicht zu beanstandende Erledigungsweise führt nach der Rechtsprechung, welche für die Entscheidung der intertemporalrechtlichen Frage nach Art. 109 MVG auf die Verfügung abstellt ( BGE 121 V 158 Erw. 1, BGE 120 V 369 Erw. 1; SVR 1995 MV Nr. 4 S. 12 Erw. 1), hier zur Anwendung des neuen Rechts. Für diese Lösung spricht auch Art. 117 MVG , wonach sich Fristen und Zuständigkeit nach dem alten Recht richten, wenn die Frist zur Anfechtung von Verfügungen der Militärversicherung im Zeitpunkt des Inkrafttretens des neuen MVG nicht abgelaufen ist.</w:t>
      </w:r>
    </w:p>
    <w:p>
      <w:r>
        <w:rPr>
          <w:b/>
        </w:rPr>
        <w:t>E. 2</w:t>
      </w:r>
    </w:p>
    <w:p>
      <w:r>
        <w:t>a) Streitiges Element der vorinstanzlich bestätigten Leistungszusprechung bildet einzig die Bundeshaftung, welche sich dem Umfang nach auf die Anspruchsberechtigung auswirkt. Diesbezüglich wird in rechtlicher und tatsächlicher Hinsicht auf den kantonalen Gerichtsentscheid verwiesen (vgl. BGE 111 Ia 4 Erw. 4a, BGE 103 Ia 409 Erw. 3a, BGE 98 Ia 464 Erw. 5a). b) Ergänzend sei beigefügt, dass die Dispositiv-Ziffern 1 und 2 des wiedergegebenen Einspracheentscheides ausschliesslich feststellenden Charakter haben. Nach ständiger Rechtsprechung zum Verfügungsbegriff ( Art. 5 VwVG ), welcher auch im Bereich der Militärversicherung (Art. 98 f. in Verbindung mit Art. 85 MVG ) und somit auch bezüglich der Festlegung von Leistungen unter dem Titel der Bundeshaftung gilt, ist der Erlass von Feststellungsverfügungen unzulässig, wenn die Verwaltung die Möglichkeit hat, die Rechtsbeziehung direkt durch eine rechtsgestaltende Verfügung zu ordnen ( BGE 114 V 203 Erw. 2c mit Hinweisen; RKUV 1991 Nr. U 119 S. 48 Erw. BGE 122 V 28 S. 31 7b, Nr. U 134 S. 315 Erw. 3a; vgl. BGE 119 V 38 Erw. 1a, BGE 117 V 104 oben). So verhält es sich, wie aus den wiedergegebenen Dispositiv-Ziffern 3 ff. des Einspracheentscheides hervorgeht, im vorliegenden Fall. Darin hat das BAMV, auf der Grundlage der gesetzlichen Anspruchselemente (Bundeshaftung, Leistungsansatz, Invaliditätsgrad usw.), unmittelbar die einzelnen Leistungen festgelegt und zugesprochen. Prozessual zulässiger Regelungs- und damit, wenn bestritten, zu überprüfender Anfechtungsgegenstand (Streitobjekt) unter dem Titel der Bundeshaftung ist die Kürzung von Leistungen ( Art. 64 MVG , in Übereinstimmung mit Art. 41 Abs. 1 aMVG ), und nicht die Feststellung von einzelnen Kürzungssätzen für verschiedene Leiden. aa) Bei dieser Rechtslage stösst die in der Verwaltungsgerichtsbeschwerde vertretene Auffassung, wonach es sich bei der Müdigkeit und den Konzentrationsstörungen, wie überhaupt beim gegebenen insbesondere psychischen Gesundheitsbild, um eine natürliche und adäquate Folge des dienstlichen Unfalles vom 1. März 1990 handle, insofern ins Leere, als das BAMV, schon aus seiner haftungsrechtlichen Sicht, der verfügten Leistungszusprechung einen vollständigen Invaliditätsgrad (100%) unterlegte. Diesbezüglich vermöchte die Anerkennung der erwähnten Beeinträchtigungen als Folgen der dienstlichen Einwirkung dem Beschwerdeführer von vornherein nicht weiter zu helfen, weil, unter diesem Titel, kein Raum für eine weitergehende Leistungszusprechung besteht. In bezug auf die Bundeshaftung als solche ist nach der gesamten Aktenlage eine zusätzliche Berücksichtigung der Müdigkeit, der Konzentrationsstörungen und des psychischen Gesundheitszustandes für die Erhöhung des Haftungssatzes von 50%, auf welchem die zugesprochene Überbrückungsrente beruht, aussichtslos. Denn selbst unter Annahme eines auch diesbezüglich rechtserheblichen Kausalzusammenhanges erscheint eine 50%ige Bundeshaftung insgesamt als angemessen, liegt doch, wie aus dem gut dokumentierten Versicherungsverlauf und insbesondere dem Gutachten des Prof. Dr. med. A., Spital X, vom 12. März 1992 hervorgeht, eine erhebliche dienstfremde Psychogenie der Beschwerden und Beeinträchtigungen vor, welche ebenfalls eine Halbierung der Bundeshaftung und entsprechende Herabsetzung der Rente rechtfertigt. Zwar ist das Konzept des natürlichen und adäquaten Kausalzusammenhanges, soweit es im Bereich der Militärversicherung zum Zuge kommt (vgl. die Rechtsprechung zu Art. 4 ff. aMVG [ BGE 111 V 370 ]), das BGE 122 V 28 S. 32 gleiche wie in der gesetzlichen Unfallversicherung. Doch wirkt sich in Zusammenhängen wie dem hier vorliegenden aus, dass das BAMV mit Art. 64 MVG nach wie vor ( Art. 41 Abs. 1 aMVG ) über die rechtliche Grundlage verfügt, bei zur versicherten dienstlichen Einwirkung hinzutretenden konkurrierenden Schadensursachen eine Teilhaftung anzunehmen und die Leistungen entsprechend einzuschränken, dies im Gegensatz zu Art. 36 UVG , wo die Leistungskürzung nur noch in engen Grenzen zulässig ist ( BGE 113 V 137 Erw. 5a, BGE 121 V 326 Erw. 3). bb) Die Beschränkung der Bundeshaftung bei einem multiplen Spektrum von versicherten und nichtversicherten Schadensursachen kommt auch dann zum Tragen, wenn die Leistungspflicht der Militärversicherung für das Risiko der medizinischen Massnahmen nach Art. 18 Abs. 6 MVG in Frage steht. Im Rahmen dieser Bestimmung hat zwar die Militärversicherung die Haftung für eine Operations- oder Behandlungsfolge voll zu übernehmen, selbst wenn für die Gesundheitsschädigung vor der betreffenden Massnahme nur eine Teilhaftung bestanden hat (so schon SCHATZ, Kommentar zur Eidgenössischen Militärversicherung, S. 122; zu Art. 18 Abs. 6 aMVG siehe Botschaft zur Änderung des Bundesgesetzes über die Militärversicherung vom 26. März 1963, BBl 1963 I S. 845 ff., S. 856). Es genügt jedoch nicht jede Folge einer medizinischen Massnahme, um diese strenge Haftung auszulösen. Vielmehr bedarf es eines unerwünschten und nicht voraussehbaren Verlaufs der Massnahme. Soweit der Verlauf zwar nicht optimal ist, jedoch im Rahmen des Üblichen liegt, tritt die Vollhaftung nicht ein. Die weitere Haftung der Militärversicherung für den Folgezustand bemisst sich in diesen Fällen im Rahmen der üblichen Haftungsnormen ( Art. 4 und 5 MVG ) (Botschaft zum Bundesgesetz über die Militärversicherung vom 27. Juni 1990, BBl 1990 III S. 201 ff., S. 231). Diese Ausführungen des Bundesrates blieben in den vorberatenden Kommissionen von National- und Ständerat wie auch in den parlamentarischen Beratungen im Grundsatz unbestritten (vgl. Sitzungsprotokoll der nationalrätlichen Kommission vom 17./18. Februar 1992). Ob Beeinträchtigungen wie die vom Beschwerdeführer geklagten Konzentrationsstörungen und die Müdigkeit eine nicht voraussehbare Folge einer Lumbalpunktion oder einer Mikrodiskektomie darstellen und die Militärversicherung dafür die volle Haftung zu übernehmen hätte, ist fraglich, kann jedoch offenbleiben. Denn die Anwendung von Art. 18 Abs. 6 MVG setzt voraus, dass zwischen der geltend gemachten Gesundheitsschädigung BGE 122 V 28 S. 33 und der in Frage stehenden medizinischen Massnahme ein natürlicher und adäquater Kausalzusammenhang besteht (unveröffentlichtes Urteil G. vom 20. August 1984). Diese erste Voraussetzung der Leistungspflicht der Militärversicherung ist nach der medizinischen Aktenlage sowie den auch in dieser Hinsicht schlüssigen Darlegungen der Vorinstanz, auf welche verwiesen wird (vgl. Erw. 2 hievor), entgegen den Vorbringen in der Verwaltungsgerichtsbeschwerde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